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2CFF73FF" w:rsidR="007C174A" w:rsidRDefault="00FB43D1" w:rsidP="009D737D">
      <w:pPr>
        <w:pStyle w:val="BodyText"/>
        <w:spacing w:after="0"/>
        <w:rPr>
          <w:rFonts w:ascii="Calibri" w:hAnsi="Calibri"/>
          <w:b/>
          <w:bCs/>
          <w:sz w:val="26"/>
          <w:szCs w:val="26"/>
        </w:rPr>
      </w:pPr>
      <w:r>
        <w:rPr>
          <w:rFonts w:ascii="Calibri" w:hAnsi="Calibri"/>
          <w:b/>
          <w:bCs/>
          <w:sz w:val="26"/>
          <w:szCs w:val="26"/>
        </w:rPr>
        <w:t>Finance</w:t>
      </w:r>
    </w:p>
    <w:p w14:paraId="635E1384" w14:textId="77777777" w:rsidR="000105F4" w:rsidRPr="0077764B" w:rsidRDefault="000105F4" w:rsidP="009D737D">
      <w:pPr>
        <w:pStyle w:val="BodyText"/>
        <w:spacing w:after="0"/>
        <w:rPr>
          <w:rFonts w:ascii="Calibri" w:hAnsi="Calibri"/>
          <w:b/>
          <w:bCs/>
          <w:sz w:val="26"/>
          <w:szCs w:val="26"/>
        </w:rPr>
      </w:pPr>
    </w:p>
    <w:p w14:paraId="2AC252B5" w14:textId="77777777" w:rsidR="007108DF" w:rsidRDefault="007108DF" w:rsidP="007108DF">
      <w:pPr>
        <w:jc w:val="both"/>
        <w:rPr>
          <w:rFonts w:ascii="Calibri" w:hAnsi="Calibri"/>
          <w:sz w:val="26"/>
          <w:szCs w:val="26"/>
        </w:rPr>
      </w:pPr>
      <w:r>
        <w:rPr>
          <w:rFonts w:ascii="Calibri" w:hAnsi="Calibri"/>
          <w:sz w:val="26"/>
          <w:szCs w:val="26"/>
        </w:rPr>
        <w:t>The Finance Directorate is</w:t>
      </w:r>
      <w:r w:rsidRPr="009D6CC2">
        <w:t xml:space="preserve"> </w:t>
      </w:r>
      <w:r w:rsidRPr="009D6CC2">
        <w:rPr>
          <w:rFonts w:ascii="Calibri" w:hAnsi="Calibri"/>
          <w:sz w:val="26"/>
          <w:szCs w:val="26"/>
        </w:rPr>
        <w:t xml:space="preserve">responsible for overseeing </w:t>
      </w:r>
      <w:r>
        <w:rPr>
          <w:rFonts w:ascii="Calibri" w:hAnsi="Calibri"/>
          <w:sz w:val="26"/>
          <w:szCs w:val="26"/>
        </w:rPr>
        <w:t>the</w:t>
      </w:r>
      <w:r w:rsidRPr="009D6CC2">
        <w:rPr>
          <w:rFonts w:ascii="Calibri" w:hAnsi="Calibri"/>
          <w:sz w:val="26"/>
          <w:szCs w:val="26"/>
        </w:rPr>
        <w:t xml:space="preserve"> organi</w:t>
      </w:r>
      <w:r>
        <w:rPr>
          <w:rFonts w:ascii="Calibri" w:hAnsi="Calibri"/>
          <w:sz w:val="26"/>
          <w:szCs w:val="26"/>
        </w:rPr>
        <w:t>s</w:t>
      </w:r>
      <w:r w:rsidRPr="009D6CC2">
        <w:rPr>
          <w:rFonts w:ascii="Calibri" w:hAnsi="Calibri"/>
          <w:sz w:val="26"/>
          <w:szCs w:val="26"/>
        </w:rPr>
        <w:t>ation's financial management and strategy</w:t>
      </w:r>
      <w:r>
        <w:rPr>
          <w:rFonts w:ascii="Calibri" w:hAnsi="Calibri"/>
          <w:sz w:val="26"/>
          <w:szCs w:val="26"/>
        </w:rPr>
        <w:t>, providing expert advice and professional services to the University Executive Office and to the wider Academic Partnership.</w:t>
      </w:r>
    </w:p>
    <w:p w14:paraId="37DD0A4D" w14:textId="37E22A04" w:rsidR="007108DF" w:rsidRDefault="007108DF" w:rsidP="000105F4">
      <w:pPr>
        <w:jc w:val="both"/>
        <w:rPr>
          <w:rFonts w:ascii="Calibri" w:hAnsi="Calibri"/>
          <w:sz w:val="26"/>
          <w:szCs w:val="26"/>
        </w:rPr>
      </w:pPr>
    </w:p>
    <w:p w14:paraId="10FFB866" w14:textId="78217651" w:rsidR="007108DF" w:rsidRDefault="00B23466" w:rsidP="00B23466">
      <w:pPr>
        <w:rPr>
          <w:rFonts w:ascii="Calibri" w:hAnsi="Calibri"/>
          <w:sz w:val="26"/>
          <w:szCs w:val="26"/>
        </w:rPr>
      </w:pPr>
      <w:r w:rsidRPr="00B23466">
        <w:rPr>
          <w:rFonts w:ascii="Calibri" w:hAnsi="Calibri"/>
          <w:sz w:val="26"/>
          <w:szCs w:val="26"/>
        </w:rPr>
        <w:t>The Finance team is a vibrant and high-performing function at the heart of the university’s operations. Operating in a fast-paced and collaborative environment, the team delivers high-quality financial insights and strategic guidance to senior stakeholders across the institution. It plays a pivotal role in safeguarding the university’s financial sustainability, enabling informed decision-making, and ensuring the smooth and accurate management of income and expenditure. With a strong focus on compliance and regulatory standards, the team supports both day-to-day financial processes and long-term strategic planning. This role offers an exciting opportunity to contribute meaningfully to the university’s financial success, working alongside experienced professionals to support growth, innovation, and excellence.</w:t>
      </w:r>
    </w:p>
    <w:p w14:paraId="22C2FC5D" w14:textId="77777777" w:rsidR="005327CE" w:rsidRDefault="005327CE" w:rsidP="000105F4">
      <w:pPr>
        <w:jc w:val="both"/>
        <w:rPr>
          <w:rFonts w:ascii="Calibri" w:hAnsi="Calibri"/>
          <w:sz w:val="26"/>
          <w:szCs w:val="26"/>
        </w:rPr>
      </w:pPr>
    </w:p>
    <w:p w14:paraId="6F30C04A" w14:textId="7CD5E0D0" w:rsidR="005327CE" w:rsidRPr="0077764B" w:rsidRDefault="00B23466" w:rsidP="005327CE">
      <w:pPr>
        <w:pStyle w:val="BodyText"/>
        <w:spacing w:after="0"/>
        <w:jc w:val="both"/>
        <w:rPr>
          <w:rFonts w:ascii="Calibri" w:hAnsi="Calibri"/>
          <w:bCs/>
          <w:sz w:val="26"/>
          <w:szCs w:val="26"/>
        </w:rPr>
      </w:pPr>
      <w:r>
        <w:rPr>
          <w:rFonts w:ascii="Calibri" w:hAnsi="Calibri"/>
          <w:b/>
          <w:bCs/>
          <w:sz w:val="26"/>
          <w:szCs w:val="26"/>
        </w:rPr>
        <w:t>Assistant</w:t>
      </w:r>
      <w:r w:rsidR="005327CE">
        <w:rPr>
          <w:rFonts w:ascii="Calibri" w:hAnsi="Calibri"/>
          <w:b/>
          <w:bCs/>
          <w:sz w:val="26"/>
          <w:szCs w:val="26"/>
        </w:rPr>
        <w:t xml:space="preserve"> Accountant</w:t>
      </w:r>
    </w:p>
    <w:p w14:paraId="3C4DD3CA" w14:textId="77777777" w:rsidR="005327CE" w:rsidRPr="0077764B" w:rsidRDefault="005327CE" w:rsidP="005327CE">
      <w:pPr>
        <w:pStyle w:val="BodyText"/>
        <w:spacing w:after="0"/>
        <w:jc w:val="both"/>
        <w:rPr>
          <w:rFonts w:ascii="Calibri" w:hAnsi="Calibri"/>
          <w:bCs/>
          <w:sz w:val="26"/>
          <w:szCs w:val="26"/>
        </w:rPr>
      </w:pPr>
    </w:p>
    <w:p w14:paraId="6A1A0729" w14:textId="0A7BF9B6" w:rsidR="00CD791B" w:rsidRDefault="00B23466" w:rsidP="009D737D">
      <w:pPr>
        <w:rPr>
          <w:rFonts w:asciiTheme="minorHAnsi" w:hAnsiTheme="minorHAnsi" w:cstheme="minorHAnsi"/>
          <w:sz w:val="26"/>
          <w:szCs w:val="26"/>
        </w:rPr>
      </w:pPr>
      <w:r w:rsidRPr="00B23466">
        <w:rPr>
          <w:rFonts w:asciiTheme="minorHAnsi" w:hAnsiTheme="minorHAnsi" w:cstheme="minorHAnsi"/>
          <w:sz w:val="26"/>
          <w:szCs w:val="26"/>
        </w:rPr>
        <w:t>The Assistant Accountant is a pivotal role within the Finance Department, providing support across both the Management Accounts and Financial Accounts teams. This dual-facing position offers a unique opportunity to gain broad experience in financial operations and contribute meaningfully to the university’s financial success. The role is central to delivering accurate, timely, and compliant financial information across both functions, and is instrumental in improving operational efficiency and enabling strategic decision-making. Key responsibilities include the effective processing of core financial transactions, reconciliation of academic time allocation data, and the consolidation of critical institutional financial information</w:t>
      </w:r>
      <w:r>
        <w:rPr>
          <w:rFonts w:asciiTheme="minorHAnsi" w:hAnsiTheme="minorHAnsi" w:cstheme="minorHAnsi"/>
          <w:sz w:val="26"/>
          <w:szCs w:val="26"/>
        </w:rPr>
        <w:t>.</w:t>
      </w:r>
    </w:p>
    <w:p w14:paraId="6E830924" w14:textId="77777777" w:rsidR="00B23466" w:rsidRDefault="00B23466" w:rsidP="009D737D">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10240704"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are encouraged to contact</w:t>
      </w:r>
      <w:r w:rsidR="000105F4">
        <w:rPr>
          <w:rFonts w:ascii="Calibri" w:hAnsi="Calibri"/>
          <w:sz w:val="26"/>
          <w:szCs w:val="26"/>
        </w:rPr>
        <w:t xml:space="preserve"> Tim Miles – Finance Manager</w:t>
      </w:r>
      <w:r w:rsidRPr="6FBE2112">
        <w:rPr>
          <w:rFonts w:ascii="Calibri" w:hAnsi="Calibri"/>
          <w:sz w:val="26"/>
          <w:szCs w:val="26"/>
        </w:rPr>
        <w:t xml:space="preserve">, by email </w:t>
      </w:r>
      <w:r w:rsidR="0745951E" w:rsidRPr="6FBE2112">
        <w:rPr>
          <w:rFonts w:ascii="Calibri" w:hAnsi="Calibri"/>
          <w:sz w:val="26"/>
          <w:szCs w:val="26"/>
        </w:rPr>
        <w:t xml:space="preserve">to </w:t>
      </w:r>
      <w:r w:rsidR="000105F4">
        <w:rPr>
          <w:rFonts w:ascii="Calibri" w:hAnsi="Calibri"/>
          <w:sz w:val="26"/>
          <w:szCs w:val="26"/>
        </w:rPr>
        <w:t>tim.miles@uhi.ac.uk</w:t>
      </w:r>
      <w:r w:rsidRPr="6FBE2112">
        <w:rPr>
          <w:rFonts w:ascii="Calibri" w:hAnsi="Calibri"/>
          <w:sz w:val="26"/>
          <w:szCs w:val="26"/>
        </w:rPr>
        <w:t>.</w:t>
      </w:r>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4FEA6DD2" w14:textId="77777777" w:rsidR="00B23466" w:rsidRPr="0077764B" w:rsidRDefault="00B23466" w:rsidP="00B23466">
      <w:pPr>
        <w:pStyle w:val="BodyText2"/>
        <w:jc w:val="left"/>
        <w:rPr>
          <w:rFonts w:ascii="Calibri" w:hAnsi="Calibri"/>
          <w:sz w:val="26"/>
          <w:szCs w:val="26"/>
        </w:rPr>
      </w:pPr>
      <w:r w:rsidRPr="6FBE2112">
        <w:rPr>
          <w:rFonts w:ascii="Calibri" w:hAnsi="Calibri"/>
          <w:sz w:val="26"/>
          <w:szCs w:val="26"/>
        </w:rPr>
        <w:t xml:space="preserve">This role is linked to grade </w:t>
      </w:r>
      <w:r>
        <w:rPr>
          <w:rFonts w:ascii="Calibri" w:hAnsi="Calibri"/>
          <w:sz w:val="26"/>
          <w:szCs w:val="26"/>
        </w:rPr>
        <w:t xml:space="preserve">5 </w:t>
      </w:r>
      <w:r w:rsidRPr="6FBE2112">
        <w:rPr>
          <w:rFonts w:ascii="Calibri" w:hAnsi="Calibri"/>
          <w:sz w:val="26"/>
          <w:szCs w:val="26"/>
        </w:rPr>
        <w:t xml:space="preserve">on the UHI payscale. </w:t>
      </w:r>
    </w:p>
    <w:p w14:paraId="6F83E26F" w14:textId="75671778" w:rsidR="00B23466" w:rsidRPr="0077764B" w:rsidRDefault="00B23466" w:rsidP="00B23466">
      <w:pPr>
        <w:pStyle w:val="BodyText2"/>
        <w:jc w:val="left"/>
        <w:rPr>
          <w:rFonts w:ascii="Calibri" w:hAnsi="Calibri"/>
          <w:sz w:val="26"/>
          <w:szCs w:val="26"/>
        </w:rPr>
      </w:pPr>
      <w:r w:rsidRPr="6FBE2112">
        <w:rPr>
          <w:rFonts w:ascii="Calibri" w:hAnsi="Calibri"/>
          <w:sz w:val="26"/>
          <w:szCs w:val="26"/>
        </w:rPr>
        <w:t xml:space="preserve">The starting salary for this position will normally be in the range </w:t>
      </w:r>
      <w:r w:rsidRPr="005D3CE2">
        <w:rPr>
          <w:rFonts w:ascii="Calibri" w:hAnsi="Calibri"/>
          <w:sz w:val="26"/>
          <w:szCs w:val="26"/>
        </w:rPr>
        <w:t>£2</w:t>
      </w:r>
      <w:r>
        <w:rPr>
          <w:rFonts w:ascii="Calibri" w:hAnsi="Calibri"/>
          <w:sz w:val="26"/>
          <w:szCs w:val="26"/>
        </w:rPr>
        <w:t>7,876</w:t>
      </w:r>
      <w:r w:rsidRPr="005D3CE2">
        <w:rPr>
          <w:rFonts w:ascii="Calibri" w:hAnsi="Calibri"/>
          <w:sz w:val="26"/>
          <w:szCs w:val="26"/>
        </w:rPr>
        <w:t xml:space="preserve"> to £</w:t>
      </w:r>
      <w:r w:rsidR="008D6F77">
        <w:rPr>
          <w:rFonts w:ascii="Calibri" w:hAnsi="Calibri"/>
          <w:sz w:val="26"/>
          <w:szCs w:val="26"/>
        </w:rPr>
        <w:t xml:space="preserve">30,462 </w:t>
      </w:r>
      <w:r w:rsidRPr="005D3CE2">
        <w:rPr>
          <w:rFonts w:ascii="Calibri" w:hAnsi="Calibri"/>
          <w:sz w:val="26"/>
          <w:szCs w:val="26"/>
        </w:rPr>
        <w:t>per annum. For exceptional candidates a higher salary up to the top of the grade (currently £3</w:t>
      </w:r>
      <w:r>
        <w:rPr>
          <w:rFonts w:ascii="Calibri" w:hAnsi="Calibri"/>
          <w:sz w:val="26"/>
          <w:szCs w:val="26"/>
        </w:rPr>
        <w:t>4,285</w:t>
      </w:r>
      <w:r w:rsidRPr="005D3CE2">
        <w:rPr>
          <w:rFonts w:ascii="Calibri" w:hAnsi="Calibri"/>
          <w:sz w:val="26"/>
          <w:szCs w:val="26"/>
        </w:rPr>
        <w:t xml:space="preserve"> per annum) may be available.</w:t>
      </w:r>
    </w:p>
    <w:p w14:paraId="3192B1AA" w14:textId="77777777" w:rsidR="00B23466" w:rsidRPr="0077764B" w:rsidRDefault="00B23466" w:rsidP="00B23466">
      <w:pPr>
        <w:pStyle w:val="BodyText2"/>
        <w:jc w:val="left"/>
        <w:rPr>
          <w:rFonts w:ascii="Calibri" w:hAnsi="Calibri"/>
          <w:sz w:val="26"/>
          <w:szCs w:val="26"/>
        </w:rPr>
      </w:pPr>
    </w:p>
    <w:p w14:paraId="63B68B9D" w14:textId="77777777" w:rsidR="00B23466" w:rsidRPr="0077764B" w:rsidRDefault="00B23466" w:rsidP="00B23466">
      <w:pPr>
        <w:pStyle w:val="BodyText2"/>
        <w:jc w:val="left"/>
        <w:rPr>
          <w:rFonts w:ascii="Calibri" w:hAnsi="Calibri"/>
          <w:sz w:val="26"/>
          <w:szCs w:val="26"/>
        </w:rPr>
      </w:pPr>
      <w:r w:rsidRPr="6FBE2112">
        <w:rPr>
          <w:rFonts w:ascii="Calibri" w:hAnsi="Calibri"/>
          <w:sz w:val="26"/>
          <w:szCs w:val="26"/>
        </w:rPr>
        <w:lastRenderedPageBreak/>
        <w:t>This post is full</w:t>
      </w:r>
      <w:r>
        <w:rPr>
          <w:rFonts w:ascii="Calibri" w:hAnsi="Calibri"/>
          <w:sz w:val="26"/>
          <w:szCs w:val="26"/>
        </w:rPr>
        <w:t xml:space="preserve"> time </w:t>
      </w:r>
      <w:r w:rsidRPr="6FBE2112">
        <w:rPr>
          <w:rFonts w:ascii="Calibri" w:hAnsi="Calibri"/>
          <w:sz w:val="26"/>
          <w:szCs w:val="26"/>
        </w:rPr>
        <w:t xml:space="preserve">and will involve working </w:t>
      </w:r>
      <w:r>
        <w:rPr>
          <w:rFonts w:ascii="Calibri" w:hAnsi="Calibri"/>
          <w:sz w:val="26"/>
          <w:szCs w:val="26"/>
        </w:rPr>
        <w:t>35</w:t>
      </w:r>
      <w:r w:rsidRPr="6FBE2112">
        <w:rPr>
          <w:rFonts w:ascii="Calibri" w:hAnsi="Calibri"/>
          <w:sz w:val="26"/>
          <w:szCs w:val="26"/>
        </w:rPr>
        <w:t xml:space="preserve"> hours per week on a working pattern as agreed with your line manager.</w:t>
      </w:r>
    </w:p>
    <w:p w14:paraId="6D170376" w14:textId="77777777" w:rsidR="00B23466" w:rsidRPr="0077764B" w:rsidRDefault="00B23466" w:rsidP="00B23466">
      <w:pPr>
        <w:rPr>
          <w:rStyle w:val="Hyperlink"/>
          <w:rFonts w:ascii="Calibri" w:hAnsi="Calibri"/>
          <w:sz w:val="26"/>
          <w:szCs w:val="26"/>
        </w:rPr>
      </w:pPr>
    </w:p>
    <w:p w14:paraId="4B51ABEC" w14:textId="26ECC89E" w:rsidR="00FE1688" w:rsidRPr="0077764B" w:rsidRDefault="00B23466" w:rsidP="00B23466">
      <w:pPr>
        <w:rPr>
          <w:rFonts w:ascii="Calibri" w:hAnsi="Calibri"/>
          <w:sz w:val="26"/>
          <w:szCs w:val="26"/>
        </w:rPr>
      </w:pPr>
      <w:r w:rsidRPr="005D3CE2">
        <w:rPr>
          <w:rFonts w:ascii="Calibri" w:hAnsi="Calibri"/>
          <w:sz w:val="26"/>
          <w:szCs w:val="26"/>
        </w:rPr>
        <w:t xml:space="preserve">The workplace pension scheme provided to workers at grade five and below is the Local Government Pension Scheme (LGPS). This is a qualifying pension scheme, which means it meets or exceeds the government’s standards. Full information about the scheme can be found on the Highland Council’s Pension Fund website </w:t>
      </w:r>
      <w:hyperlink r:id="rId11" w:history="1">
        <w:r w:rsidRPr="00AF749D">
          <w:rPr>
            <w:rStyle w:val="Hyperlink"/>
            <w:rFonts w:ascii="Calibri" w:hAnsi="Calibri"/>
            <w:sz w:val="26"/>
            <w:szCs w:val="26"/>
          </w:rPr>
          <w:t>http://www.highlandpensionfund.org/</w:t>
        </w:r>
      </w:hyperlink>
    </w:p>
    <w:p w14:paraId="62486C05" w14:textId="57A3C10B" w:rsidR="00F1075F" w:rsidRPr="0077764B" w:rsidRDefault="00F1075F" w:rsidP="009D737D">
      <w:pPr>
        <w:rPr>
          <w:rFonts w:ascii="Calibri" w:hAnsi="Calibri"/>
          <w:sz w:val="26"/>
          <w:szCs w:val="26"/>
        </w:rPr>
      </w:pPr>
    </w:p>
    <w:p w14:paraId="3A5778A7" w14:textId="77777777"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39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3CBDF7A8" w:rsidR="007C174A" w:rsidRPr="00D11B56" w:rsidRDefault="007C174A" w:rsidP="009D737D">
      <w:pPr>
        <w:pStyle w:val="BodyText2"/>
        <w:jc w:val="left"/>
        <w:rPr>
          <w:rFonts w:ascii="Calibri" w:hAnsi="Calibri"/>
          <w:b/>
          <w:bCs/>
          <w:sz w:val="26"/>
          <w:szCs w:val="26"/>
        </w:rPr>
      </w:pPr>
      <w:r w:rsidRPr="00D11B56">
        <w:rPr>
          <w:rFonts w:ascii="Calibri" w:hAnsi="Calibri"/>
          <w:b/>
          <w:bCs/>
          <w:sz w:val="26"/>
          <w:szCs w:val="26"/>
        </w:rPr>
        <w:t xml:space="preserve">The </w:t>
      </w:r>
      <w:r w:rsidR="0836BCAC" w:rsidRPr="00D11B56">
        <w:rPr>
          <w:rFonts w:ascii="Calibri" w:hAnsi="Calibri"/>
          <w:b/>
          <w:bCs/>
          <w:sz w:val="26"/>
          <w:szCs w:val="26"/>
        </w:rPr>
        <w:t xml:space="preserve">deadline </w:t>
      </w:r>
      <w:r w:rsidRPr="00D11B56">
        <w:rPr>
          <w:rFonts w:ascii="Calibri" w:hAnsi="Calibri"/>
          <w:b/>
          <w:bCs/>
          <w:sz w:val="26"/>
          <w:szCs w:val="26"/>
        </w:rPr>
        <w:t xml:space="preserve">for </w:t>
      </w:r>
      <w:r w:rsidR="4E0026B3" w:rsidRPr="00D11B56">
        <w:rPr>
          <w:rFonts w:ascii="Calibri" w:hAnsi="Calibri"/>
          <w:b/>
          <w:bCs/>
          <w:sz w:val="26"/>
          <w:szCs w:val="26"/>
        </w:rPr>
        <w:t xml:space="preserve">submitting your </w:t>
      </w:r>
      <w:r w:rsidRPr="00D11B56">
        <w:rPr>
          <w:rFonts w:ascii="Calibri" w:hAnsi="Calibri"/>
          <w:b/>
          <w:bCs/>
          <w:sz w:val="26"/>
          <w:szCs w:val="26"/>
        </w:rPr>
        <w:t>application is</w:t>
      </w:r>
      <w:r w:rsidR="00066347">
        <w:rPr>
          <w:rFonts w:ascii="Calibri" w:hAnsi="Calibri"/>
          <w:b/>
          <w:bCs/>
          <w:sz w:val="26"/>
          <w:szCs w:val="26"/>
        </w:rPr>
        <w:t xml:space="preserve"> 26 October 2025.</w:t>
      </w:r>
    </w:p>
    <w:p w14:paraId="7505046B" w14:textId="63067841" w:rsidR="6FBE2112" w:rsidRPr="00D11B56" w:rsidRDefault="6FBE2112" w:rsidP="009D737D">
      <w:pPr>
        <w:pStyle w:val="BodyText2"/>
        <w:jc w:val="left"/>
        <w:rPr>
          <w:rFonts w:ascii="Calibri" w:hAnsi="Calibri"/>
          <w:b/>
          <w:bCs/>
          <w:sz w:val="26"/>
          <w:szCs w:val="26"/>
        </w:rPr>
      </w:pPr>
    </w:p>
    <w:p w14:paraId="6BA91507" w14:textId="4112CEE7" w:rsidR="23412346" w:rsidRPr="00D11B56" w:rsidRDefault="23412346" w:rsidP="009D737D">
      <w:pPr>
        <w:pStyle w:val="BodyText2"/>
        <w:jc w:val="left"/>
        <w:rPr>
          <w:rFonts w:ascii="Calibri" w:hAnsi="Calibri"/>
          <w:b/>
          <w:bCs/>
          <w:sz w:val="26"/>
          <w:szCs w:val="26"/>
        </w:rPr>
      </w:pPr>
      <w:r w:rsidRPr="00D11B56">
        <w:rPr>
          <w:rFonts w:ascii="Calibri" w:hAnsi="Calibri"/>
          <w:b/>
          <w:bCs/>
          <w:sz w:val="26"/>
          <w:szCs w:val="26"/>
        </w:rPr>
        <w:t>Shortlisting will take place the week commencing</w:t>
      </w:r>
      <w:r w:rsidR="00066347">
        <w:rPr>
          <w:rFonts w:ascii="Calibri" w:hAnsi="Calibri"/>
          <w:b/>
          <w:bCs/>
          <w:sz w:val="26"/>
          <w:szCs w:val="26"/>
        </w:rPr>
        <w:t xml:space="preserve"> tbc.</w:t>
      </w:r>
    </w:p>
    <w:p w14:paraId="1299C43A" w14:textId="77777777" w:rsidR="007C174A" w:rsidRPr="00D11B56" w:rsidRDefault="007C174A" w:rsidP="009D737D">
      <w:pPr>
        <w:pStyle w:val="BodyText2"/>
        <w:jc w:val="left"/>
        <w:rPr>
          <w:rFonts w:ascii="Calibri" w:hAnsi="Calibri"/>
          <w:sz w:val="26"/>
          <w:szCs w:val="26"/>
        </w:rPr>
      </w:pPr>
    </w:p>
    <w:p w14:paraId="6E1B1F33" w14:textId="5B40BA8B" w:rsidR="00567F96" w:rsidRPr="0077764B" w:rsidRDefault="007C174A" w:rsidP="009D737D">
      <w:pPr>
        <w:pStyle w:val="BodyText2"/>
        <w:jc w:val="left"/>
        <w:rPr>
          <w:rFonts w:ascii="Calibri" w:hAnsi="Calibri"/>
          <w:b/>
          <w:bCs/>
          <w:sz w:val="26"/>
          <w:szCs w:val="26"/>
        </w:rPr>
      </w:pPr>
      <w:r w:rsidRPr="00D11B56">
        <w:rPr>
          <w:rFonts w:ascii="Calibri" w:hAnsi="Calibri"/>
          <w:b/>
          <w:bCs/>
          <w:sz w:val="26"/>
          <w:szCs w:val="26"/>
        </w:rPr>
        <w:t xml:space="preserve">Interviews will be held </w:t>
      </w:r>
      <w:r w:rsidR="009568A6" w:rsidRPr="00D11B56">
        <w:rPr>
          <w:rFonts w:ascii="Calibri" w:hAnsi="Calibri"/>
          <w:b/>
          <w:bCs/>
          <w:sz w:val="26"/>
          <w:szCs w:val="26"/>
        </w:rPr>
        <w:t xml:space="preserve">week commencing </w:t>
      </w:r>
      <w:r w:rsidR="00066347">
        <w:rPr>
          <w:rFonts w:ascii="Calibri" w:hAnsi="Calibri"/>
          <w:b/>
          <w:bCs/>
          <w:sz w:val="26"/>
          <w:szCs w:val="26"/>
        </w:rPr>
        <w:t>tbc.</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172A" w14:textId="77777777" w:rsidR="007C6642" w:rsidRDefault="007C6642">
      <w:r>
        <w:separator/>
      </w:r>
    </w:p>
  </w:endnote>
  <w:endnote w:type="continuationSeparator" w:id="0">
    <w:p w14:paraId="457BD29F" w14:textId="77777777" w:rsidR="007C6642" w:rsidRDefault="007C6642">
      <w:r>
        <w:continuationSeparator/>
      </w:r>
    </w:p>
  </w:endnote>
  <w:endnote w:type="continuationNotice" w:id="1">
    <w:p w14:paraId="0F2D2335" w14:textId="77777777" w:rsidR="007C6642" w:rsidRDefault="007C6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9ADC" w14:textId="77777777" w:rsidR="007C6642" w:rsidRDefault="007C6642">
      <w:r>
        <w:separator/>
      </w:r>
    </w:p>
  </w:footnote>
  <w:footnote w:type="continuationSeparator" w:id="0">
    <w:p w14:paraId="1905BB10" w14:textId="77777777" w:rsidR="007C6642" w:rsidRDefault="007C6642">
      <w:r>
        <w:continuationSeparator/>
      </w:r>
    </w:p>
  </w:footnote>
  <w:footnote w:type="continuationNotice" w:id="1">
    <w:p w14:paraId="1764FC2E" w14:textId="77777777" w:rsidR="007C6642" w:rsidRDefault="007C6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05F4"/>
    <w:rsid w:val="00017B41"/>
    <w:rsid w:val="0003075F"/>
    <w:rsid w:val="00035966"/>
    <w:rsid w:val="00037D0A"/>
    <w:rsid w:val="00065141"/>
    <w:rsid w:val="00066347"/>
    <w:rsid w:val="000748E7"/>
    <w:rsid w:val="00080CB3"/>
    <w:rsid w:val="000A06E7"/>
    <w:rsid w:val="000C32EE"/>
    <w:rsid w:val="000F15CD"/>
    <w:rsid w:val="001023B0"/>
    <w:rsid w:val="00147C40"/>
    <w:rsid w:val="0015273C"/>
    <w:rsid w:val="00154EFC"/>
    <w:rsid w:val="0019517D"/>
    <w:rsid w:val="001A68CE"/>
    <w:rsid w:val="001A7DB1"/>
    <w:rsid w:val="001C4E6D"/>
    <w:rsid w:val="001C6DC9"/>
    <w:rsid w:val="001E242F"/>
    <w:rsid w:val="001E2D0D"/>
    <w:rsid w:val="001E3B40"/>
    <w:rsid w:val="001F31BE"/>
    <w:rsid w:val="002100EE"/>
    <w:rsid w:val="002102A7"/>
    <w:rsid w:val="002147D8"/>
    <w:rsid w:val="00220FD5"/>
    <w:rsid w:val="00224767"/>
    <w:rsid w:val="00233321"/>
    <w:rsid w:val="00233884"/>
    <w:rsid w:val="00235C01"/>
    <w:rsid w:val="00241162"/>
    <w:rsid w:val="00246EF2"/>
    <w:rsid w:val="0024764A"/>
    <w:rsid w:val="0025195D"/>
    <w:rsid w:val="00254B67"/>
    <w:rsid w:val="00263275"/>
    <w:rsid w:val="0026396E"/>
    <w:rsid w:val="00272524"/>
    <w:rsid w:val="002763C5"/>
    <w:rsid w:val="002C72EF"/>
    <w:rsid w:val="002E24C3"/>
    <w:rsid w:val="002E3127"/>
    <w:rsid w:val="002E67BF"/>
    <w:rsid w:val="003010C1"/>
    <w:rsid w:val="003215EA"/>
    <w:rsid w:val="0032604E"/>
    <w:rsid w:val="00326312"/>
    <w:rsid w:val="00327387"/>
    <w:rsid w:val="0034254A"/>
    <w:rsid w:val="00345269"/>
    <w:rsid w:val="00354BB1"/>
    <w:rsid w:val="003644C7"/>
    <w:rsid w:val="003648AA"/>
    <w:rsid w:val="003975A1"/>
    <w:rsid w:val="003A7B96"/>
    <w:rsid w:val="003B16F4"/>
    <w:rsid w:val="003B22B1"/>
    <w:rsid w:val="003E3085"/>
    <w:rsid w:val="00407E8F"/>
    <w:rsid w:val="0041681E"/>
    <w:rsid w:val="00436C6B"/>
    <w:rsid w:val="00450BA7"/>
    <w:rsid w:val="004516F6"/>
    <w:rsid w:val="004530F4"/>
    <w:rsid w:val="0046195E"/>
    <w:rsid w:val="0046523B"/>
    <w:rsid w:val="0047654C"/>
    <w:rsid w:val="00485036"/>
    <w:rsid w:val="004B5296"/>
    <w:rsid w:val="004B6223"/>
    <w:rsid w:val="004D3C31"/>
    <w:rsid w:val="004E2AAC"/>
    <w:rsid w:val="004F2B44"/>
    <w:rsid w:val="00516DD7"/>
    <w:rsid w:val="00523105"/>
    <w:rsid w:val="005327CE"/>
    <w:rsid w:val="00540683"/>
    <w:rsid w:val="00567F96"/>
    <w:rsid w:val="005722E4"/>
    <w:rsid w:val="00575D01"/>
    <w:rsid w:val="0058011E"/>
    <w:rsid w:val="00585CBA"/>
    <w:rsid w:val="00592EE5"/>
    <w:rsid w:val="005A306C"/>
    <w:rsid w:val="005B1792"/>
    <w:rsid w:val="005C0685"/>
    <w:rsid w:val="005C743A"/>
    <w:rsid w:val="005D4180"/>
    <w:rsid w:val="005D67FD"/>
    <w:rsid w:val="005E6C2D"/>
    <w:rsid w:val="005F3ACB"/>
    <w:rsid w:val="005F44CB"/>
    <w:rsid w:val="005F582E"/>
    <w:rsid w:val="005F7E90"/>
    <w:rsid w:val="00605079"/>
    <w:rsid w:val="00606686"/>
    <w:rsid w:val="00612A34"/>
    <w:rsid w:val="0061521C"/>
    <w:rsid w:val="00621B2E"/>
    <w:rsid w:val="00637F9D"/>
    <w:rsid w:val="00642DFC"/>
    <w:rsid w:val="0065531E"/>
    <w:rsid w:val="006763A5"/>
    <w:rsid w:val="006B7762"/>
    <w:rsid w:val="006F6F39"/>
    <w:rsid w:val="007108DF"/>
    <w:rsid w:val="007153DE"/>
    <w:rsid w:val="00743D02"/>
    <w:rsid w:val="00752923"/>
    <w:rsid w:val="00776D86"/>
    <w:rsid w:val="0077764B"/>
    <w:rsid w:val="00793895"/>
    <w:rsid w:val="007975FD"/>
    <w:rsid w:val="007A1034"/>
    <w:rsid w:val="007A4189"/>
    <w:rsid w:val="007C174A"/>
    <w:rsid w:val="007C6642"/>
    <w:rsid w:val="007D5496"/>
    <w:rsid w:val="007E4598"/>
    <w:rsid w:val="007E497D"/>
    <w:rsid w:val="007F0FED"/>
    <w:rsid w:val="008028C1"/>
    <w:rsid w:val="00812800"/>
    <w:rsid w:val="00821B4B"/>
    <w:rsid w:val="00831609"/>
    <w:rsid w:val="00837E9A"/>
    <w:rsid w:val="00840FA4"/>
    <w:rsid w:val="00853BA4"/>
    <w:rsid w:val="00871A4A"/>
    <w:rsid w:val="00872B3C"/>
    <w:rsid w:val="008A7642"/>
    <w:rsid w:val="008B3574"/>
    <w:rsid w:val="008B55FA"/>
    <w:rsid w:val="008B64C6"/>
    <w:rsid w:val="008C04D2"/>
    <w:rsid w:val="008C4E46"/>
    <w:rsid w:val="008C5916"/>
    <w:rsid w:val="008D6F77"/>
    <w:rsid w:val="008E6B04"/>
    <w:rsid w:val="008F2F82"/>
    <w:rsid w:val="00906511"/>
    <w:rsid w:val="00916515"/>
    <w:rsid w:val="009217D1"/>
    <w:rsid w:val="00923553"/>
    <w:rsid w:val="00923AFA"/>
    <w:rsid w:val="009343BC"/>
    <w:rsid w:val="00934688"/>
    <w:rsid w:val="00946450"/>
    <w:rsid w:val="00947B1C"/>
    <w:rsid w:val="00950ECA"/>
    <w:rsid w:val="009568A6"/>
    <w:rsid w:val="00971AD6"/>
    <w:rsid w:val="009843D6"/>
    <w:rsid w:val="00986231"/>
    <w:rsid w:val="009D626A"/>
    <w:rsid w:val="009D737D"/>
    <w:rsid w:val="009E79F7"/>
    <w:rsid w:val="009F5CA0"/>
    <w:rsid w:val="00A16DC2"/>
    <w:rsid w:val="00A3346F"/>
    <w:rsid w:val="00A44795"/>
    <w:rsid w:val="00A4732A"/>
    <w:rsid w:val="00A90AC7"/>
    <w:rsid w:val="00AA5B2C"/>
    <w:rsid w:val="00AA6F56"/>
    <w:rsid w:val="00AA7A2A"/>
    <w:rsid w:val="00AB6D03"/>
    <w:rsid w:val="00AB7130"/>
    <w:rsid w:val="00AC574B"/>
    <w:rsid w:val="00AF6E0D"/>
    <w:rsid w:val="00B22B48"/>
    <w:rsid w:val="00B22DA6"/>
    <w:rsid w:val="00B23466"/>
    <w:rsid w:val="00B25CF7"/>
    <w:rsid w:val="00B603BE"/>
    <w:rsid w:val="00B60440"/>
    <w:rsid w:val="00B62749"/>
    <w:rsid w:val="00B6399E"/>
    <w:rsid w:val="00B66B36"/>
    <w:rsid w:val="00BD2651"/>
    <w:rsid w:val="00BD7859"/>
    <w:rsid w:val="00BE1FD1"/>
    <w:rsid w:val="00C52B00"/>
    <w:rsid w:val="00C64697"/>
    <w:rsid w:val="00C7729A"/>
    <w:rsid w:val="00C97DEF"/>
    <w:rsid w:val="00CB2F1E"/>
    <w:rsid w:val="00CD767F"/>
    <w:rsid w:val="00CD791B"/>
    <w:rsid w:val="00D03DF5"/>
    <w:rsid w:val="00D065C8"/>
    <w:rsid w:val="00D11B56"/>
    <w:rsid w:val="00D2252C"/>
    <w:rsid w:val="00D22A1C"/>
    <w:rsid w:val="00D33DD4"/>
    <w:rsid w:val="00D35872"/>
    <w:rsid w:val="00D46F06"/>
    <w:rsid w:val="00D62699"/>
    <w:rsid w:val="00D63FE4"/>
    <w:rsid w:val="00D6556A"/>
    <w:rsid w:val="00D65C1B"/>
    <w:rsid w:val="00D80922"/>
    <w:rsid w:val="00D84124"/>
    <w:rsid w:val="00D846AE"/>
    <w:rsid w:val="00D85665"/>
    <w:rsid w:val="00D90FD3"/>
    <w:rsid w:val="00D97BBC"/>
    <w:rsid w:val="00DA7E4A"/>
    <w:rsid w:val="00DF1FA5"/>
    <w:rsid w:val="00E02717"/>
    <w:rsid w:val="00E12F59"/>
    <w:rsid w:val="00E26FBE"/>
    <w:rsid w:val="00E4044D"/>
    <w:rsid w:val="00E516C9"/>
    <w:rsid w:val="00E55F8C"/>
    <w:rsid w:val="00E671CE"/>
    <w:rsid w:val="00E72361"/>
    <w:rsid w:val="00E875A5"/>
    <w:rsid w:val="00E878B4"/>
    <w:rsid w:val="00EA2736"/>
    <w:rsid w:val="00EA4B28"/>
    <w:rsid w:val="00EB30F9"/>
    <w:rsid w:val="00ED5FC5"/>
    <w:rsid w:val="00EE38AD"/>
    <w:rsid w:val="00EF06B7"/>
    <w:rsid w:val="00EF4D78"/>
    <w:rsid w:val="00F05162"/>
    <w:rsid w:val="00F07726"/>
    <w:rsid w:val="00F1075F"/>
    <w:rsid w:val="00F25CC8"/>
    <w:rsid w:val="00F447FB"/>
    <w:rsid w:val="00F62DED"/>
    <w:rsid w:val="00F90CDF"/>
    <w:rsid w:val="00F94FDB"/>
    <w:rsid w:val="00F97216"/>
    <w:rsid w:val="00FA4E60"/>
    <w:rsid w:val="00FB2365"/>
    <w:rsid w:val="00FB43D1"/>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nel@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landpensionfun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 xmlns="48024984-ca8d-41ff-9707-f5889f8be683" xsi:nil="true"/>
    <lcf76f155ced4ddcb4097134ff3c332f xmlns="48024984-ca8d-41ff-9707-f5889f8be683">
      <Terms xmlns="http://schemas.microsoft.com/office/infopath/2007/PartnerControls"/>
    </lcf76f155ced4ddcb4097134ff3c332f>
    <TaxCatchAll xmlns="0e688173-6920-4db4-a106-52e1f932be5c">
      <Value>55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3.xml><?xml version="1.0" encoding="utf-8"?>
<ds:datastoreItem xmlns:ds="http://schemas.openxmlformats.org/officeDocument/2006/customXml" ds:itemID="{B8D5D76B-4BFF-48EB-9291-19C4453A606A}">
  <ds:schemaRefs>
    <ds:schemaRef ds:uri="http://schemas.microsoft.com/office/2006/metadata/properties"/>
    <ds:schemaRef ds:uri="http://purl.org/dc/terms/"/>
    <ds:schemaRef ds:uri="http://purl.org/dc/dcmitype/"/>
    <ds:schemaRef ds:uri="http://schemas.microsoft.com/office/2006/documentManagement/types"/>
    <ds:schemaRef ds:uri="216f99d1-4b22-4645-ae4b-3e4420dd6ed6"/>
    <ds:schemaRef ds:uri="http://www.w3.org/XML/1998/namespace"/>
    <ds:schemaRef ds:uri="http://purl.org/dc/elements/1.1/"/>
    <ds:schemaRef ds:uri="http://schemas.microsoft.com/office/infopath/2007/PartnerControls"/>
    <ds:schemaRef ds:uri="http://schemas.openxmlformats.org/package/2006/metadata/core-properties"/>
    <ds:schemaRef ds:uri="32351b9e-f5d9-4064-8540-3d0a3d15d5d8"/>
    <ds:schemaRef ds:uri="48024984-ca8d-41ff-9707-f5889f8be683"/>
    <ds:schemaRef ds:uri="0e688173-6920-4db4-a106-52e1f932be5c"/>
  </ds:schemaRefs>
</ds:datastoreItem>
</file>

<file path=customXml/itemProps4.xml><?xml version="1.0" encoding="utf-8"?>
<ds:datastoreItem xmlns:ds="http://schemas.openxmlformats.org/officeDocument/2006/customXml" ds:itemID="{3F4B96FB-65DE-4A99-BD6D-1F38DC60B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6287-57c4-41f4-92a0-cd79ebe81d86"/>
    <ds:schemaRef ds:uri="48024984-ca8d-41ff-9707-f5889f8be683"/>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UHI Millennium Institute</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Paula Mackay</cp:lastModifiedBy>
  <cp:revision>3</cp:revision>
  <cp:lastPrinted>2012-12-08T02:16:00Z</cp:lastPrinted>
  <dcterms:created xsi:type="dcterms:W3CDTF">2025-09-30T12:11:00Z</dcterms:created>
  <dcterms:modified xsi:type="dcterms:W3CDTF">2025-09-30T12:12:00Z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0x010100D176D55DAA79714786DB57E7B4D72E28</vt:lpwstr>
  </property>
  <property fmtid="{D5CDD505-2E9C-101B-9397-08002B2CF9AE}" pid="8" name="Document category">
    <vt:lpwstr/>
  </property>
</Properties>
</file>